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TS-0011 · Criminal</w:t>
      </w:r>
    </w:p>
    <w:p>
      <w:pPr>
        <w:pStyle w:val="Title"/>
      </w:pPr>
      <w:r>
        <w:t xml:space="preserve">Rarest of Rare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death may be imposed: aggravating and mitigating circumstances, the possibility of reform, and the inconsistency in application.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Bachan Singh v. State of Punjab, (1980) 2 SCC 684</w:t>
      </w:r>
    </w:p>
    <w:p>
      <w:pPr>
        <w:pStyle w:val="Bullet"/>
      </w:pPr>
      <w:r>
        <w:t xml:space="preserve">•  Machhi Singh v. State of Punjab, (1983) 3 SCC 470</w:t>
      </w:r>
    </w:p>
    <w:p>
      <w:pPr>
        <w:pStyle w:val="Bullet"/>
      </w:pPr>
      <w:r>
        <w:t xml:space="preserve">•  Santosh Kumar Satishbhushan Bariyar v. State of Maharashtra, (2009) 6 SCC 498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https://fpr.iura.in/tests/rarest-of-rare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