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TS-0114 · Tort</w:t>
      </w:r>
    </w:p>
    <w:p>
      <w:pPr>
        <w:pStyle w:val="Title"/>
      </w:pPr>
      <w:r>
        <w:t xml:space="preserve">Real Consent to Treatment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What a doctor must tell a patient for consent to be valid, and why Indian law has not adopted full informed consent.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Samira Kohli v. Dr. Prabha Manchanda, (2008) 2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https://fpr.iura.in/tests/real-consent-to-treatment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