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TS-0024 · Contract</w:t>
      </w:r>
    </w:p>
    <w:p>
      <w:pPr>
        <w:pStyle w:val="Title"/>
      </w:pPr>
      <w:r>
        <w:t xml:space="preserve">Reasonable Compensation for Liquidated Damages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Section 74: the stipulated sum is a ceiling, and whether loss must be proved before it is awarded.</w:t>
      </w:r>
    </w:p>
    <w:p>
      <w:pPr>
        <w:pStyle w:val="Guidance"/>
      </w:pPr>
      <w:r>
        <w:t xml:space="preserve">Authorities to start from. These are places to begin, listed by the editors. Read each one in the original and check the citation before you rely on it.</w:t>
      </w:r>
    </w:p>
    <w:p>
      <w:pPr>
        <w:pStyle w:val="Bullet"/>
      </w:pPr>
      <w:r>
        <w:t xml:space="preserve">•  Fateh Chand v. Balkishan Dass, AIR 1963 SC 1405</w:t>
      </w:r>
    </w:p>
    <w:p>
      <w:pPr>
        <w:pStyle w:val="Bullet"/>
      </w:pPr>
      <w:r>
        <w:t xml:space="preserve">•  ONGC Ltd. v. Saw Pipes Ltd., (2003) 5 SCC 705</w:t>
      </w:r>
    </w:p>
    <w:p>
      <w:pPr>
        <w:pStyle w:val="Bullet"/>
      </w:pPr>
      <w:r>
        <w:t xml:space="preserve">•  Kailash Nath Associates v. DDA, (2015) 4 SCC 136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https://fpr.iura.in/tests/reasonable-compensation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