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TS-0078 · Media</w:t>
      </w:r>
    </w:p>
    <w:p>
      <w:pPr>
        <w:pStyle w:val="Title"/>
      </w:pPr>
      <w:r>
        <w:t xml:space="preserve">The Reasonable, Strong-Minded Person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standard by which the effect of words or a film is judged: an ordinary person of firm mind, not one who scents danger everywhere.</w:t>
      </w:r>
    </w:p>
    <w:p>
      <w:pPr>
        <w:pStyle w:val="Guidance"/>
      </w:pPr>
      <w:r>
        <w:t xml:space="preserve">Authorities to start from. These are places to begin, listed by the editors. Read each one in the original and check the citation before you rely on it.</w:t>
      </w:r>
    </w:p>
    <w:p>
      <w:pPr>
        <w:pStyle w:val="Bullet"/>
      </w:pPr>
      <w:r>
        <w:t xml:space="preserve">•  Ramesh v. Union of India, (1988) 1 SCC 668</w:t>
      </w:r>
    </w:p>
    <w:p>
      <w:pPr>
        <w:pStyle w:val="Bullet"/>
      </w:pPr>
      <w:r>
        <w:t xml:space="preserve">•  Bhagwati Charan Shukla v. Provincial Government, AIR 1947 Nag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https://fpr.iura.in/tests/reasonable-strong-minded-person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