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TS-0159 · Criminal</w:t>
      </w:r>
    </w:p>
    <w:p>
      <w:pPr>
        <w:pStyle w:val="Title"/>
      </w:pPr>
      <w:r>
        <w:t xml:space="preserve">Recall of a Witness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When a court will summon or recall a witness because the evidence is essential to a just decision.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311 (now Bharatiya Nagarik Suraksha Sanhita, 2023, § 348)</w:t>
      </w:r>
    </w:p>
    <w:p>
      <w:pPr>
        <w:pStyle w:val="Bullet"/>
      </w:pPr>
      <w:r>
        <w:t xml:space="preserve">•  Rajaram Prasad Yadav v. State of Bihar, (2013) 14 SCC 461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https://fpr.iura.in/tests/recall-of-a-witness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