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TS-0080 · Administrative</w:t>
      </w:r>
    </w:p>
    <w:p>
      <w:pPr>
        <w:pStyle w:val="Title"/>
      </w:pPr>
      <w:r>
        <w:t xml:space="preserve">Relevant and Irrelevant Considerations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decision-maker took account of what the statute required and left out what it did not, including where the power turns on subjective satisfaction.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Barium Chemicals Ltd. v. Company Law Board, AIR 1967 SC 295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https://fpr.iura.in/tests/relevant-and-irrelevant-considerations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