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TS-0064 · Evidence</w:t>
      </w:r>
    </w:p>
    <w:p>
      <w:pPr>
        <w:pStyle w:val="Title"/>
      </w:pPr>
      <w:r>
        <w:t xml:space="preserve">Reliability of an Identification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weight an identification in court carries without a prior parade, and what makes a parade fair.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9 (now Bharatiya Sakshya Adhiniyam, 2023, § 7)</w:t>
      </w:r>
    </w:p>
    <w:p>
      <w:pPr>
        <w:pStyle w:val="Bullet"/>
      </w:pPr>
      <w:r>
        <w:t xml:space="preserve">•  Matru v. State of U.P., (1971) 2 SCC 75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https://fpr.iura.in/tests/reliability-of-identification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