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TS-0007 · Constitutional</w:t>
      </w:r>
    </w:p>
    <w:p>
      <w:pPr>
        <w:pStyle w:val="Title"/>
      </w:pPr>
      <w:r>
        <w:t xml:space="preserve">The Rights Test for the Ninth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two-step inquiry for laws placed in the Ninth Schedule after 24 April 1973: the impact on rights that form part of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I.R. Coelho v. State of T.N., (2007) 2 SCC 1</w:t>
      </w:r>
    </w:p>
    <w:p>
      <w:pPr>
        <w:pStyle w:val="Bullet"/>
      </w:pPr>
      <w:r>
        <w:t xml:space="preserve">•  Waman Rao v. Union of India, (1981) 2 SCC 362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https://fpr.iura.in/tests/rights-test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