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TS-0108 · Criminal</w:t>
      </w:r>
    </w:p>
    <w:p>
      <w:pPr>
        <w:pStyle w:val="Title"/>
      </w:pPr>
      <w:r>
        <w:t xml:space="preserve">Search before a Gazetted Officer or Magistrate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duty to tell a suspect of the right to be searched before a gazetted officer or magistrate, and the effect of failing to.</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Narcotic Drugs and Psychotropic Substances Act, 1985, § 50</w:t>
      </w:r>
    </w:p>
    <w:p>
      <w:pPr>
        <w:pStyle w:val="Bullet"/>
      </w:pPr>
      <w:r>
        <w:t xml:space="preserve">•  Vijaysinh Chandubha Jadeja v. State of Gujarat, (2011) 1 SCC 609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https://fpr.iura.in/tests/search-before-a-gazetted-officer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