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TS-0132 · Banking</w:t>
      </w:r>
    </w:p>
    <w:p>
      <w:pPr>
        <w:pStyle w:val="Title"/>
      </w:pPr>
      <w:r>
        <w:t xml:space="preserve">Security Cheque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dishonour of a cheque given as security is an offence, which turns on whether a debt existed when it was presented.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Sripati Singh v. State of Jharkhand, 2021 SCC OnLine SC 1002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https://fpr.iura.in/tests/security-cheque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