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TS-0143 · Labour</w:t>
      </w:r>
    </w:p>
    <w:p>
      <w:pPr>
        <w:pStyle w:val="Title"/>
      </w:pPr>
      <w:r>
        <w:t xml:space="preserve">Sexual Harassment at 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conduct amounts to sexual harassment, judged by whether it was unwelcome and not by physical contact.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Sexual Harassment of Women at Workplace (Prevention, Prohibition and Redressal) Act, 2013, §§ 2(n), 3</w:t>
      </w:r>
    </w:p>
    <w:p>
      <w:pPr>
        <w:pStyle w:val="Bullet"/>
      </w:pPr>
      <w:r>
        <w:t xml:space="preserve">•  Apparel Export Promotion Council v. A.K. Chopra, (1999) 1 SCC 759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https://fpr.iura.in/tests/sexual-harassment-at-work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