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TS-0076 · Constitutional</w:t>
      </w:r>
    </w:p>
    <w:p>
      <w:pPr>
        <w:pStyle w:val="Title"/>
      </w:pPr>
      <w:r>
        <w:t xml:space="preserve">Skill or Chance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a game depends mainly on skill, and so is a protected business, or mainly on chance, and so is gambling.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Bombay v. R.M.D. Chamarbaugwala, AIR 1957 SC 699</w:t>
      </w:r>
    </w:p>
    <w:p>
      <w:pPr>
        <w:pStyle w:val="Bullet"/>
      </w:pPr>
      <w:r>
        <w:t xml:space="preserve">•  K.R. Lakshmanan v. State of T.N., (1996) 2 SCC 226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https://fpr.iura.in/tests/skill-or-chance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