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TS-0110 · Evidence</w:t>
      </w:r>
    </w:p>
    <w:p>
      <w:pPr>
        <w:pStyle w:val="Title"/>
      </w:pPr>
      <w:r>
        <w:t xml:space="preserve">Sterling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qualities that let a court convict on one witness alone: consistency, natural conduct and agreement with the other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Rai Sandeep v. State (NCT of Delhi), (2012) 8 SCC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https://fpr.iura.in/tests/sterling-witness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