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TS-0066 · Civil Procedure</w:t>
      </w:r>
    </w:p>
    <w:p>
      <w:pPr>
        <w:pStyle w:val="Title"/>
      </w:pPr>
      <w:r>
        <w:t xml:space="preserve">A Substantial Question of Law</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What a High Court must find before it hears a second appeal: a debatable question of law that affects the parties’ rights.</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Civil Procedure, 1908, § 100</w:t>
      </w:r>
    </w:p>
    <w:p>
      <w:pPr>
        <w:pStyle w:val="Bullet"/>
      </w:pPr>
      <w:r>
        <w:t xml:space="preserve">•  Sir Chunilal V. Mehta &amp; Sons Ltd. v. Century Spinning &amp; Manufacturing Co. Ltd., AIR 1962 SC 1314</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https://fpr.iura.in/tests/substantial-question-of-law</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