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TS-0156 · Criminal</w:t>
      </w:r>
    </w:p>
    <w:p>
      <w:pPr>
        <w:pStyle w:val="Title"/>
      </w:pPr>
      <w:r>
        <w:t xml:space="preserve">Summoning an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magistrate must be satisfied of before issuing process, given that summoning is a serious matter.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Pepsi Foods Ltd. v. Special Judicial Magistrate, (1998) 5 SCC 749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https://fpr.iura.in/tests/summoning-an-accused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