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TS-0158 · Criminal</w:t>
      </w:r>
    </w:p>
    <w:p>
      <w:pPr>
        <w:pStyle w:val="Title"/>
      </w:pPr>
      <w:r>
        <w:t xml:space="preserve">Transfer of a Criminal Trial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reasonable apprehension that justice will not be done, on which a trial is moved to another State.</w:t>
      </w:r>
    </w:p>
    <w:p>
      <w:pPr>
        <w:pStyle w:val="Guidance"/>
      </w:pPr>
      <w:r>
        <w:t xml:space="preserve">Authorities to start from. These are places to begin, listed by the editors. Read each one in the original and check the citation before you rely on it.</w:t>
      </w:r>
    </w:p>
    <w:p>
      <w:pPr>
        <w:pStyle w:val="Bullet"/>
      </w:pPr>
      <w:r>
        <w:t xml:space="preserve">•  Maneka Sanjay Gandhi v. Rani Jethmalani, (1979) 4 SCC 167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https://fpr.iura.in/tests/transfer-of-a-criminal-trial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