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TS-0107 · Criminal</w:t>
      </w:r>
    </w:p>
    <w:p>
      <w:pPr>
        <w:pStyle w:val="Title"/>
      </w:pPr>
      <w:r>
        <w:t xml:space="preserve">Transfer of Investigation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When a constitutional court will hand an investigation to the central agency without the State’s consent.</w:t>
      </w:r>
    </w:p>
    <w:p>
      <w:pPr>
        <w:pStyle w:val="Guidance"/>
      </w:pPr>
      <w:r>
        <w:t xml:space="preserve">Authorities to start from. These are places to begin, listed by the editors. Read each one in the original and check the citation before you rely on it.</w:t>
      </w:r>
    </w:p>
    <w:p>
      <w:pPr>
        <w:pStyle w:val="Bullet"/>
      </w:pPr>
      <w:r>
        <w:t xml:space="preserve">•  State of W.B. v. Committee for Protection of Democratic Rights, (2010) 3 SCC 571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https://fpr.iura.in/tests/transfer-of-investigation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