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TS-0015 · Criminal</w:t>
      </w:r>
    </w:p>
    <w:p>
      <w:pPr>
        <w:pStyle w:val="Title"/>
      </w:pPr>
      <w:r>
        <w:t xml:space="preserve">The Triple Test for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Flight risk, tampering with evidence and influencing witnesses as the working test for bail, alongside gravity of the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 Chidambaram v. Directorate of Enforcement, (2020) 13 SCC 791</w:t>
      </w:r>
    </w:p>
    <w:p>
      <w:pPr>
        <w:pStyle w:val="Bullet"/>
      </w:pPr>
      <w:r>
        <w:t xml:space="preserve">•  Sanjay Chandra v. CBI, (2012) 1 SCC 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https://fpr.iura.in/tests/triple-test-bail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