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TS-0075 · Constitutional</w:t>
      </w:r>
    </w:p>
    <w:p>
      <w:pPr>
        <w:pStyle w:val="Title"/>
      </w:pPr>
      <w:r>
        <w:t xml:space="preserve">Triple Test for Reservation in Local Bodies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three conditions for reserving seats for backward classes in local bodies: a dedicated commission, body-wise data, and the fifty per cent limit.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Vikas Kishanrao Gawali v. State of Maharashtra, (2021) 6 SCC 73</w:t>
      </w:r>
    </w:p>
    <w:p>
      <w:pPr>
        <w:pStyle w:val="Bullet"/>
      </w:pPr>
      <w:r>
        <w:t xml:space="preserve">•  K. Krishna Murthy v. Union of India, (2010) 7 SCC 202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https://fpr.iura.in/tests/triple-test-for-local-body-reservation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