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TS-0038 · Family</w:t>
      </w:r>
    </w:p>
    <w:p>
      <w:pPr>
        <w:pStyle w:val="Title"/>
      </w:pPr>
      <w:r>
        <w:t xml:space="preserve">A Valid Hindu Adoption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Capacity to give and take, the giving and taking ceremony, and the presumption that follows a registered deed.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Adoptions and Maintenance Act, 1956, §§ 6–11, 16</w:t>
      </w:r>
    </w:p>
    <w:p>
      <w:pPr>
        <w:pStyle w:val="Bullet"/>
      </w:pPr>
      <w:r>
        <w:t xml:space="preserve">•  Lakshman Singh Kothari v. Rup Kanwar, AIR 1961 SC 1378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https://fpr.iura.in/tests/valid-adoption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