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TS-0083 · Administrative</w:t>
      </w:r>
    </w:p>
    <w:p>
      <w:pPr>
        <w:pStyle w:val="Title"/>
      </w:pPr>
      <w:r>
        <w:t xml:space="preserve">Validity of Subordinate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grounds on which a rule or regulation can be struck down, from lack of competence to manifest arbitrariness.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T.N. v. P. Krishnamurthy, (2006) 4 SCC 517</w:t>
      </w:r>
    </w:p>
    <w:p>
      <w:pPr>
        <w:pStyle w:val="Bullet"/>
      </w:pPr>
      <w:r>
        <w:t xml:space="preserve">•  Indian Express Newspapers (Bombay) (P) Ltd. v. Union of India, (1985) 1 SCC 641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https://fpr.iura.in/tests/validity-of-subordinate-legislation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