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TS-0012 · Criminal</w:t>
      </w:r>
    </w:p>
    <w:p>
      <w:pPr>
        <w:pStyle w:val="Title"/>
      </w:pPr>
      <w:r>
        <w:t xml:space="preserve">The Virsa Singh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four steps for murder under the third clause of section 300: intended injury, sufficient in the ordinary course to cause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Virsa Singh v. State of Punjab, AIR 1958 SC 465</w:t>
      </w:r>
    </w:p>
    <w:p>
      <w:pPr>
        <w:pStyle w:val="Bullet"/>
      </w:pPr>
      <w:r>
        <w:t xml:space="preserve">•  Indian Penal Code, 1860, § 300 (now Bharatiya Nyaya Sanhita, 2023, § 101)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https://fpr.iura.in/tests/virsa-singh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