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TS-0162 · Administrative</w:t>
      </w:r>
    </w:p>
    <w:p>
      <w:pPr>
        <w:pStyle w:val="Title"/>
      </w:pPr>
      <w:r>
        <w:t xml:space="preserve">Writ in Contractual Matters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writ lies against the State in a contractual dispute, and the effect of disputed facts and an alternative remedy.</w:t>
      </w:r>
    </w:p>
    <w:p>
      <w:pPr>
        <w:pStyle w:val="Guidance"/>
      </w:pPr>
      <w:r>
        <w:t xml:space="preserve">Authorities to start from. These are places to begin, listed by the editors. Read each one in the original and check the citation before you rely on it.</w:t>
      </w:r>
    </w:p>
    <w:p>
      <w:pPr>
        <w:pStyle w:val="Bullet"/>
      </w:pPr>
      <w:r>
        <w:t xml:space="preserve">•  ABL International Ltd. v. Export Credit Guarantee Corpn. of India Ltd., (2004) 3 SCC 553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https://fpr.iura.in/tests/writ-in-contractual-matters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