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TR-0023 · Tax</w:t>
      </w:r>
    </w:p>
    <w:p>
      <w:pPr>
        <w:pStyle w:val="Title"/>
      </w:pPr>
      <w:r>
        <w:t xml:space="preserve">Binding Advance Tax Rulings for Residents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Australia and Canada let any taxpayer obtain a binding ruling before a transaction. India’s scheme is narrow and slow.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Taxation Administration Act 1953 (Cth) sch 1 div 359 (Austl.)</w:t>
      </w:r>
    </w:p>
    <w:p>
      <w:pPr>
        <w:pStyle w:val="Bullet"/>
      </w:pPr>
      <w:r>
        <w:t xml:space="preserve">•  Income-tax Act, 1961, ch. XIX-B</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https://fpr.iura.in/transplants/advance-pricing-and-rulings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