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TR-0034 · Banking</w:t>
      </w:r>
    </w:p>
    <w:p>
      <w:pPr>
        <w:pStyle w:val="Title"/>
      </w:pPr>
      <w:r>
        <w:t xml:space="preserve">A Resolution Regime for Failing Banks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United Kingdom and the European Union give a resolution authority powers to transfer or bail in a failing bank.</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Banking Act 2009, c. 1 (U.K.)</w:t>
      </w:r>
    </w:p>
    <w:p>
      <w:pPr>
        <w:pStyle w:val="Bullet"/>
      </w:pPr>
      <w:r>
        <w:t xml:space="preserve">•  Financial Resolution and Deposit Insurance Bill, 2017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https://fpr.iura.in/transplants/bank-resolution-regime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