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TR-0008 · Corporate</w:t>
      </w:r>
    </w:p>
    <w:p>
      <w:pPr>
        <w:pStyle w:val="Title"/>
      </w:pPr>
      <w:r>
        <w:t xml:space="preserve">The Business Judgment Rule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presumption protecting directors’ good-faith decisions, as in Delaware and by statute in Australia and Germany.</w:t>
      </w:r>
    </w:p>
    <w:p>
      <w:pPr>
        <w:pStyle w:val="Guidance"/>
      </w:pPr>
      <w:r>
        <w:t xml:space="preserve">Authorities to start from. These are places to begin, listed by the editors. Read each one in the original and check the citation before you rely on it.</w:t>
      </w:r>
    </w:p>
    <w:p>
      <w:pPr>
        <w:pStyle w:val="Bullet"/>
      </w:pPr>
      <w:r>
        <w:t xml:space="preserve">•  Aronson v. Lewis, 473 A.2d 805 (Del. 1984)</w:t>
      </w:r>
    </w:p>
    <w:p>
      <w:pPr>
        <w:pStyle w:val="Bullet"/>
      </w:pPr>
      <w:r>
        <w:t xml:space="preserve">•  Corporations Act 2001 (Cth) § 180(2) (Austl.)</w:t>
      </w:r>
    </w:p>
    <w:p>
      <w:pPr>
        <w:pStyle w:val="Bullet"/>
      </w:pPr>
      <w:r>
        <w:t xml:space="preserve">•  Companies Act, 2013, § 166</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https://fpr.iura.in/transplants/business-judgment-rule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