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TR-0044 · Environment</w:t>
      </w:r>
    </w:p>
    <w:p>
      <w:pPr>
        <w:pStyle w:val="Title"/>
      </w:pPr>
      <w:r>
        <w:t xml:space="preserve">A Framework Climate Law</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The United Kingdom, Kenya and others set binding targets and an independent advisory body by statute.</w:t>
      </w:r>
    </w:p>
    <w:p>
      <w:pPr>
        <w:pStyle w:val="Guidance"/>
      </w:pPr>
      <w:r>
        <w:t xml:space="preserve">Authorities to start from. These are places to begin, listed by the editors. Read each one in the original and check the citation before you rely on it.</w:t>
      </w:r>
    </w:p>
    <w:p>
      <w:pPr>
        <w:pStyle w:val="Bullet"/>
      </w:pPr>
      <w:r>
        <w:t xml:space="preserve">•  Climate Change Act 2008, c. 27 (U.K.)</w:t>
      </w:r>
    </w:p>
    <w:p>
      <w:pPr>
        <w:pStyle w:val="Bullet"/>
      </w:pPr>
      <w:r>
        <w:t xml:space="preserve">•  Climate Change Act, No. 11 of 2016 (Kenya)</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https://fpr.iura.in/transplants/climate-framework-law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