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TR-0009 · Competition</w:t>
      </w:r>
    </w:p>
    <w:p>
      <w:pPr>
        <w:pStyle w:val="Title"/>
      </w:pPr>
      <w:r>
        <w:t xml:space="preserve">Settlements and Commitments in Competition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How the European and British commitment procedures work, and what the 2023 amendment took from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Council Regulation 1/2003, art. 9, 2003 O.J. (L 1) 1 (EC)</w:t>
      </w:r>
    </w:p>
    <w:p>
      <w:pPr>
        <w:pStyle w:val="Bullet"/>
      </w:pPr>
      <w:r>
        <w:t xml:space="preserve">•  Competition (Amendment)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https://fpr.iura.in/transplants/competition-commitments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