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TR-0055 · Civil Procedure</w:t>
      </w:r>
    </w:p>
    <w:p>
      <w:pPr>
        <w:pStyle w:val="Title"/>
      </w:pPr>
      <w:r>
        <w:t xml:space="preserve">Real Costs for the Losing Party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loser pays what the litigation actually cost the winner, as a check on weak claims and delay.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35, 35A</w:t>
      </w:r>
    </w:p>
    <w:p>
      <w:pPr>
        <w:pStyle w:val="Bullet"/>
      </w:pPr>
      <w:r>
        <w:t xml:space="preserve">•  Salem Advocate Bar Association v. Union of India, (2005) 6 SCC 344</w:t>
      </w:r>
    </w:p>
    <w:p>
      <w:pPr>
        <w:pStyle w:val="Bullet"/>
      </w:pPr>
      <w:r>
        <w:t xml:space="preserve">•  Law Commission of India, Report No. 240 (2012)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https://fpr.iura.in/transplants/costs-that-follow-the-event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