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TR-0027 · Competition</w:t>
      </w:r>
    </w:p>
    <w:p>
      <w:pPr>
        <w:pStyle w:val="Title"/>
      </w:pPr>
      <w:r>
        <w:t xml:space="preserve">Ex Ante Rules for Gatekeepers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European Union lists obligations that designated platforms must meet in advance, without proof of abuse.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Regulation 2022/1925, 2022 O.J. (L 265) 1 (EU)</w:t>
      </w:r>
    </w:p>
    <w:p>
      <w:pPr>
        <w:pStyle w:val="Bullet"/>
      </w:pPr>
      <w:r>
        <w:t xml:space="preserve">•  Committee on Digital Competition Law, Report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https://fpr.iura.in/transplants/digital-markets-act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