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TR-0005 · Criminal</w:t>
      </w:r>
    </w:p>
    <w:p>
      <w:pPr>
        <w:pStyle w:val="Title"/>
      </w:pPr>
      <w:r>
        <w:t xml:space="preserve">Diminished Responsibility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partial defence reducing murder to a lesser offence where mental abnormality falls short of legal insanity.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Homicide Act 1957, 5 &amp; 6 Eliz. 2, c. 11, § 2 (U.K.)</w:t>
      </w:r>
    </w:p>
    <w:p>
      <w:pPr>
        <w:pStyle w:val="Bullet"/>
      </w:pPr>
      <w:r>
        <w:t xml:space="preserve">•  Dahyabhai Chhaganbhai Thakkar v. State of Gujarat, AIR 1964 SC 1563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https://fpr.iura.in/transplants/diminished-responsibility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