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TR-0045 · Environment</w:t>
      </w:r>
    </w:p>
    <w:p>
      <w:pPr>
        <w:pStyle w:val="Title"/>
      </w:pPr>
      <w:r>
        <w:t xml:space="preserve">A Commissioner for Future Generations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Wales and Hungary appoint an officer to speak for those not yet born when policy is made.</w:t>
      </w:r>
    </w:p>
    <w:p>
      <w:pPr>
        <w:pStyle w:val="Guidance"/>
      </w:pPr>
      <w:r>
        <w:t xml:space="preserve">Authorities to start from. These are places to begin, listed by the editors. Read each one in the original and check the citation before you rely on it.</w:t>
      </w:r>
    </w:p>
    <w:p>
      <w:pPr>
        <w:pStyle w:val="Bullet"/>
      </w:pPr>
      <w:r>
        <w:t xml:space="preserve">•  Well-being of Future Generations (Wales) Act 2015, anaw 2</w:t>
      </w:r>
    </w:p>
    <w:p>
      <w:pPr>
        <w:pStyle w:val="Bullet"/>
      </w:pPr>
      <w:r>
        <w:t xml:space="preserve">•  Act CXI of 2011 on the Commissioner for Fundamental Rights (Hung.)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https://fpr.iura.in/transplants/environmental-ombudsman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