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TR-0004 · Evidence</w:t>
      </w:r>
    </w:p>
    <w:p>
      <w:pPr>
        <w:pStyle w:val="Title"/>
      </w:pPr>
      <w:r>
        <w:t xml:space="preserve">An Exclusionary Rule for Illegally Obtained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Indian courts admit relevant evidence however obtained. The Canadian discretion to exclude where admission would bring justice into disrepute.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Pooran Mal v. Director of Inspection (Investigation), (1974) 1 SCC 345</w:t>
      </w:r>
    </w:p>
    <w:p>
      <w:pPr>
        <w:pStyle w:val="Bullet"/>
      </w:pPr>
      <w:r>
        <w:t xml:space="preserve">•  Canadian Charter of Rights and Freedoms, § 24(2)</w:t>
      </w:r>
    </w:p>
    <w:p>
      <w:pPr>
        <w:pStyle w:val="Bullet"/>
      </w:pPr>
      <w:r>
        <w:t xml:space="preserve">•  R v. Grant, 2009 SCC 32 (Can.)</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https://fpr.iura.in/transplants/exclusionary-rule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