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TR-0035 · IP</w:t>
      </w:r>
    </w:p>
    <w:p>
      <w:pPr>
        <w:pStyle w:val="Title"/>
      </w:pPr>
      <w:r>
        <w:t xml:space="preserve">An Open Fair Use Clause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American law tests any use against four factors; Singapore moved to the same model in 2021. India lists permitted purposes.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17 U.S.C. § 107</w:t>
      </w:r>
    </w:p>
    <w:p>
      <w:pPr>
        <w:pStyle w:val="Bullet"/>
      </w:pPr>
      <w:r>
        <w:t xml:space="preserve">•  Copyright Act 2021 (Sing.) §§ 190–191</w:t>
      </w:r>
    </w:p>
    <w:p>
      <w:pPr>
        <w:pStyle w:val="Bullet"/>
      </w:pPr>
      <w:r>
        <w:t xml:space="preserve">•  Copyright Act, 1957, § 52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https://fpr.iura.in/transplants/fair-use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