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Transplant · TR-0025 · Tax</w:t>
      </w:r>
    </w:p>
    <w:p>
      <w:pPr>
        <w:pStyle w:val="Title"/>
      </w:pPr>
      <w:r>
        <w:t xml:space="preserve">An Independent Panel before Anti-Avoidance Rules Are Invoked</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abroad</w:t>
      </w:r>
    </w:p>
    <w:p>
      <w:pPr>
        <w:pStyle w:val="Guidance"/>
      </w:pPr>
      <w:r>
        <w:t xml:space="preserve">What the rule is and where it is used.</w:t>
      </w:r>
    </w:p>
    <w:p/>
    <w:p>
      <w:pPr>
        <w:pStyle w:val="Heading1"/>
      </w:pPr>
      <w:r>
        <w:t xml:space="preserve">How it works there</w:t>
      </w:r>
    </w:p>
    <w:p>
      <w:pPr>
        <w:pStyle w:val="Guidance"/>
      </w:pPr>
      <w:r>
        <w:t xml:space="preserve">How it operates in practice, with its known problems.</w:t>
      </w:r>
    </w:p>
    <w:p/>
    <w:p>
      <w:pPr>
        <w:pStyle w:val="Heading1"/>
      </w:pPr>
      <w:r>
        <w:t xml:space="preserve">The Indian position</w:t>
      </w:r>
    </w:p>
    <w:p>
      <w:pPr>
        <w:pStyle w:val="Guidance"/>
      </w:pPr>
      <w:r>
        <w:t xml:space="preserve">What Indian law does at present on the same question.</w:t>
      </w:r>
    </w:p>
    <w:p/>
    <w:p>
      <w:pPr>
        <w:pStyle w:val="Heading1"/>
      </w:pPr>
      <w:r>
        <w:t xml:space="preserve">Would it fit?</w:t>
      </w:r>
    </w:p>
    <w:p>
      <w:pPr>
        <w:pStyle w:val="Guidance"/>
      </w:pPr>
      <w:r>
        <w:t xml:space="preserve">What in Indian law or practice would help or hinder it.</w:t>
      </w:r>
    </w:p>
    <w:p/>
    <w:p>
      <w:pPr>
        <w:pStyle w:val="Heading1"/>
      </w:pPr>
      <w:r>
        <w:t xml:space="preserve">What it would take</w:t>
      </w:r>
    </w:p>
    <w:p>
      <w:pPr>
        <w:pStyle w:val="Guidance"/>
      </w:pPr>
      <w:r>
        <w:t xml:space="preserve">The statute, rule or judicial step needed to adopt it.</w:t>
      </w:r>
    </w:p>
    <w:p/>
    <w:p>
      <w:pPr>
        <w:pStyle w:val="Heading1"/>
      </w:pPr>
      <w:r>
        <w:t xml:space="preserve">Notes for the writer (delete before submitting)</w:t>
      </w:r>
    </w:p>
    <w:p>
      <w:pPr>
        <w:pStyle w:val="Guidance"/>
      </w:pPr>
      <w:r>
        <w:t xml:space="preserve">Scope of this entry. The United Kingdom requires an outside panel’s opinion before its general anti-abuse rule is applied.</w:t>
      </w:r>
    </w:p>
    <w:p>
      <w:pPr>
        <w:pStyle w:val="Guidance"/>
      </w:pPr>
      <w:r>
        <w:t xml:space="preserve">Authorities to start from. These are places to begin, listed by the editors. Read each one in the original and check the citation before you rely on it.</w:t>
      </w:r>
    </w:p>
    <w:p>
      <w:pPr>
        <w:pStyle w:val="Bullet"/>
      </w:pPr>
      <w:r>
        <w:t xml:space="preserve">•  Finance Act 2013, c. 29, pt. 5 and sched. 43 (U.K.)</w:t>
      </w:r>
    </w:p>
    <w:p>
      <w:pPr>
        <w:pStyle w:val="Bullet"/>
      </w:pPr>
      <w:r>
        <w:t xml:space="preserve">•  Income-tax Act, 1961, § 144BA</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https://fpr.iura.in/transplants/general-anti-avoidance-panel</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