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TR-0017 · Family</w:t>
      </w:r>
    </w:p>
    <w:p>
      <w:pPr>
        <w:pStyle w:val="Title"/>
      </w:pPr>
      <w:r>
        <w:t xml:space="preserve">No-Fault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England removed the need to prove fault in 2020. What an Indian version would need to protect the weaker spouse.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Divorce, Dissolution and Separation Act 2020, c. 11 (U.K.)</w:t>
      </w:r>
    </w:p>
    <w:p>
      <w:pPr>
        <w:pStyle w:val="Bullet"/>
      </w:pPr>
      <w:r>
        <w:t xml:space="preserve">•  Law Commission of India, Report No. 217 (2009)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https://fpr.iura.in/transplants/no-fault-divorce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