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TR-0047 · International (Public)</w:t>
      </w:r>
    </w:p>
    <w:p>
      <w:pPr>
        <w:pStyle w:val="Title"/>
      </w:pPr>
      <w:r>
        <w:t xml:space="preserve">Parliamentary Scrutiny of Treaties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lays treaties before Parliament for twenty-one sitting days; South Africa requires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Constitutional Reform and Governance Act 2010, c. 25, pt. 2 (U.K.)</w:t>
      </w:r>
    </w:p>
    <w:p>
      <w:pPr>
        <w:pStyle w:val="Bullet"/>
      </w:pPr>
      <w:r>
        <w:t xml:space="preserve">•  S. Afr. Const., 1996, § 231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https://fpr.iura.in/transplants/parliamentary-treaty-scrutiny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