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TR-0043 · Media</w:t>
      </w:r>
    </w:p>
    <w:p>
      <w:pPr>
        <w:pStyle w:val="Title"/>
      </w:pPr>
      <w:r>
        <w:t xml:space="preserve">A Public Interest Defence in Defamation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English and South African law protect responsible publication on a matter of public interest even if a fact proves wrong.</w:t>
      </w:r>
    </w:p>
    <w:p>
      <w:pPr>
        <w:pStyle w:val="Guidance"/>
      </w:pPr>
      <w:r>
        <w:t xml:space="preserve">Authorities to start from. These are places to begin, listed by the editors. Read each one in the original and check the citation before you rely on it.</w:t>
      </w:r>
    </w:p>
    <w:p>
      <w:pPr>
        <w:pStyle w:val="Bullet"/>
      </w:pPr>
      <w:r>
        <w:t xml:space="preserve">•  Defamation Act 2013, c. 26, § 4 (U.K.)</w:t>
      </w:r>
    </w:p>
    <w:p>
      <w:pPr>
        <w:pStyle w:val="Bullet"/>
      </w:pPr>
      <w:r>
        <w:t xml:space="preserve">•  National Media Ltd. v. Bogoshi, 1998 (4) SA 1196 (SCA) (S. Afr.)</w:t>
      </w:r>
    </w:p>
    <w:p>
      <w:pPr>
        <w:pStyle w:val="Bullet"/>
      </w:pPr>
      <w:r>
        <w:t xml:space="preserve">•  R. Rajagopal v. State of T.N., (1994) 6 SCC 632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https://fpr.iura.in/transplants/public-interest-defence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