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TR-0012 · Tech &amp; Data</w:t>
      </w:r>
    </w:p>
    <w:p>
      <w:pPr>
        <w:pStyle w:val="Title"/>
      </w:pPr>
      <w:r>
        <w:t xml:space="preserve">A Right to Be Forgotten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Erasure and de-indexing in European law, and what the Indian right to erasure leaves out, especially for court records.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Case C-131/12, Google Spain SL v. Agencia Española de Protección de Datos, ECLI:EU:C:2014:317</w:t>
      </w:r>
    </w:p>
    <w:p>
      <w:pPr>
        <w:pStyle w:val="Bullet"/>
      </w:pPr>
      <w:r>
        <w:t xml:space="preserve">•  Regulation 2016/679, art. 17, 2016 O.J. (L 119) 1 (EU)</w:t>
      </w:r>
    </w:p>
    <w:p>
      <w:pPr>
        <w:pStyle w:val="Bullet"/>
      </w:pPr>
      <w:r>
        <w:t xml:space="preserve">•  Digital Personal Data Protection Act, 2023, § 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https://fpr.iura.in/transplants/right-to-be-forgotten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