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TR-0011 · Media</w:t>
      </w:r>
    </w:p>
    <w:p>
      <w:pPr>
        <w:pStyle w:val="Title"/>
      </w:pPr>
      <w:r>
        <w:t xml:space="preserve">A Serious Harm Threshold for Defamation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English requirement that a statement cause or be likely to cause serious harm before it is actionable.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Defamation Act 2013, c. 26, § 1 (U.K.)</w:t>
      </w:r>
    </w:p>
    <w:p>
      <w:pPr>
        <w:pStyle w:val="Bullet"/>
      </w:pPr>
      <w:r>
        <w:t xml:space="preserve">•  Lachaux v. Independent Print Ltd., [2019] UKSC 27</w:t>
      </w:r>
    </w:p>
    <w:p>
      <w:pPr>
        <w:pStyle w:val="Bullet"/>
      </w:pPr>
      <w:r>
        <w:t xml:space="preserve">•  Subramanian Swamy v. Union of India, (2016) 7 SCC 221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https://fpr.iura.in/transplants/serious-harm-threshold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