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TR-0020 · Labour</w:t>
      </w:r>
    </w:p>
    <w:p>
      <w:pPr>
        <w:pStyle w:val="Title"/>
      </w:pPr>
      <w:r>
        <w:t xml:space="preserve">A General Law of Unfair Dismissal</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United Kingdom gives every employee with qualifying service a claim, not only "workmen".</w:t>
      </w:r>
    </w:p>
    <w:p>
      <w:pPr>
        <w:pStyle w:val="Guidance"/>
      </w:pPr>
      <w:r>
        <w:t xml:space="preserve">Authorities to start from. These are places to begin, listed by the editors. Read each one in the original and check the citation before you rely on it.</w:t>
      </w:r>
    </w:p>
    <w:p>
      <w:pPr>
        <w:pStyle w:val="Bullet"/>
      </w:pPr>
      <w:r>
        <w:t xml:space="preserve">•  Employment Rights Act 1996, c. 18, pt. X (U.K.)</w:t>
      </w:r>
    </w:p>
    <w:p>
      <w:pPr>
        <w:pStyle w:val="Bullet"/>
      </w:pPr>
      <w:r>
        <w:t xml:space="preserve">•  Industrial Disputes Act, 1947, § 2A</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https://fpr.iura.in/transplants/unfair-dismissal-tribunal</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