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TR-0037 · IP</w:t>
      </w:r>
    </w:p>
    <w:p>
      <w:pPr>
        <w:pStyle w:val="Title"/>
      </w:pPr>
      <w:r>
        <w:t xml:space="preserve">Utility Models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Germany, Japan and China give short-term protection to small inventions without full examination.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Gebrauchsmustergesetz [GebrMG] [Utility Model Act] (Ger.)</w:t>
      </w:r>
    </w:p>
    <w:p>
      <w:pPr>
        <w:pStyle w:val="Bullet"/>
      </w:pPr>
      <w:r>
        <w:t xml:space="preserve">•  Department of Industrial Policy and Promotion, Discussion Paper on Utility Models (2011)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https://fpr.iura.in/transplants/utility-models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