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TR-0021 · Labour</w:t>
      </w:r>
    </w:p>
    <w:p>
      <w:pPr>
        <w:pStyle w:val="Title"/>
      </w:pPr>
      <w:r>
        <w:t xml:space="preserve">The ABC Test for Platform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California presumes a worker is an employee unless three conditions are met; the United Kingdom reached a similar result in Uber.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Dynamex Operations West, Inc. v. Superior Court, 416 P.3d 1 (Cal. 2018)</w:t>
      </w:r>
    </w:p>
    <w:p>
      <w:pPr>
        <w:pStyle w:val="Bullet"/>
      </w:pPr>
      <w:r>
        <w:t xml:space="preserve">•  Uber BV v. Aslam, [2021] UKSC 5</w:t>
      </w:r>
    </w:p>
    <w:p>
      <w:pPr>
        <w:pStyle w:val="Bullet"/>
      </w:pPr>
      <w:r>
        <w:t xml:space="preserve">•  Code on Social Security, 2020, § 2(35)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https://fpr.iura.in/transplants/worker-status-test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